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Examining the Operations of Ideologies and Stereotypy: A Critical Discourse Analysis of Household Products' Advertisement</w:t>
      </w:r>
    </w:p>
    <w:p w:rsidR="00000000" w:rsidDel="00000000" w:rsidP="00000000" w:rsidRDefault="00000000" w:rsidRPr="00000000" w14:paraId="00000002">
      <w:pPr>
        <w:spacing w:after="120" w:before="12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3">
      <w:pPr>
        <w:spacing w:after="120" w:before="12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Annual Seminar Paper</w:t>
      </w:r>
    </w:p>
    <w:p w:rsidR="00000000" w:rsidDel="00000000" w:rsidP="00000000" w:rsidRDefault="00000000" w:rsidRPr="00000000" w14:paraId="00000004">
      <w:pPr>
        <w:spacing w:after="120" w:before="12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 the degree of</w:t>
      </w:r>
    </w:p>
    <w:p w:rsidR="00000000" w:rsidDel="00000000" w:rsidP="00000000" w:rsidRDefault="00000000" w:rsidRPr="00000000" w14:paraId="00000005">
      <w:pPr>
        <w:spacing w:after="120" w:before="12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Doctor of Philosophy</w:t>
      </w:r>
    </w:p>
    <w:p w:rsidR="00000000" w:rsidDel="00000000" w:rsidP="00000000" w:rsidRDefault="00000000" w:rsidRPr="00000000" w14:paraId="00000006">
      <w:pPr>
        <w:spacing w:after="120" w:before="12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in</w:t>
      </w:r>
    </w:p>
    <w:p w:rsidR="00000000" w:rsidDel="00000000" w:rsidP="00000000" w:rsidRDefault="00000000" w:rsidRPr="00000000" w14:paraId="00000007">
      <w:pPr>
        <w:spacing w:after="120" w:before="12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English</w:t>
      </w:r>
    </w:p>
    <w:p w:rsidR="00000000" w:rsidDel="00000000" w:rsidP="00000000" w:rsidRDefault="00000000" w:rsidRPr="00000000" w14:paraId="00000008">
      <w:pPr>
        <w:spacing w:after="0" w:line="360" w:lineRule="auto"/>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9">
      <w:pPr>
        <w:spacing w:after="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Title of Thesis:</w:t>
      </w:r>
    </w:p>
    <w:p w:rsidR="00000000" w:rsidDel="00000000" w:rsidP="00000000" w:rsidRDefault="00000000" w:rsidRPr="00000000" w14:paraId="0000000A">
      <w:pPr>
        <w:spacing w:after="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Language and Ideology in Advertising: A Critical Discourse Analysis of Advertisements in Selected Indian Print and Electronic Media</w:t>
      </w:r>
    </w:p>
    <w:p w:rsidR="00000000" w:rsidDel="00000000" w:rsidP="00000000" w:rsidRDefault="00000000" w:rsidRPr="00000000" w14:paraId="0000000B">
      <w:pPr>
        <w:spacing w:after="120" w:before="12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C">
      <w:pPr>
        <w:spacing w:after="120" w:before="12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Submitted to:</w:t>
      </w:r>
    </w:p>
    <w:p w:rsidR="00000000" w:rsidDel="00000000" w:rsidP="00000000" w:rsidRDefault="00000000" w:rsidRPr="00000000" w14:paraId="0000000D">
      <w:pPr>
        <w:spacing w:after="120" w:before="12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Department of English</w:t>
      </w:r>
    </w:p>
    <w:p w:rsidR="00000000" w:rsidDel="00000000" w:rsidP="00000000" w:rsidRDefault="00000000" w:rsidRPr="00000000" w14:paraId="0000000E">
      <w:pPr>
        <w:spacing w:after="120" w:before="12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Punjabi University Patiala</w:t>
      </w:r>
    </w:p>
    <w:p w:rsidR="00000000" w:rsidDel="00000000" w:rsidP="00000000" w:rsidRDefault="00000000" w:rsidRPr="00000000" w14:paraId="0000000F">
      <w:pPr>
        <w:spacing w:after="120" w:before="12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2014</w:t>
      </w:r>
    </w:p>
    <w:p w:rsidR="00000000" w:rsidDel="00000000" w:rsidP="00000000" w:rsidRDefault="00000000" w:rsidRPr="00000000" w14:paraId="00000010">
      <w:pPr>
        <w:spacing w:after="120" w:before="12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1">
      <w:pPr>
        <w:spacing w:after="120" w:before="12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Supervisor</w:t>
        <w:tab/>
        <w:tab/>
        <w:tab/>
        <w:tab/>
        <w:tab/>
        <w:tab/>
        <w:tab/>
        <w:t xml:space="preserve">Submitted by</w:t>
      </w:r>
    </w:p>
    <w:p w:rsidR="00000000" w:rsidDel="00000000" w:rsidP="00000000" w:rsidRDefault="00000000" w:rsidRPr="00000000" w14:paraId="00000012">
      <w:pPr>
        <w:spacing w:after="120" w:before="12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Dr. Jaspreet Mander</w:t>
        <w:tab/>
        <w:tab/>
        <w:tab/>
        <w:tab/>
        <w:tab/>
        <w:tab/>
        <w:t xml:space="preserve">Vandana Lunyal</w:t>
      </w:r>
    </w:p>
    <w:p w:rsidR="00000000" w:rsidDel="00000000" w:rsidP="00000000" w:rsidRDefault="00000000" w:rsidRPr="00000000" w14:paraId="00000013">
      <w:pPr>
        <w:spacing w:after="120" w:before="12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Associate Professor</w:t>
      </w:r>
    </w:p>
    <w:p w:rsidR="00000000" w:rsidDel="00000000" w:rsidP="00000000" w:rsidRDefault="00000000" w:rsidRPr="00000000" w14:paraId="00000014">
      <w:pPr>
        <w:spacing w:after="120" w:before="12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Department of English</w:t>
      </w:r>
    </w:p>
    <w:p w:rsidR="00000000" w:rsidDel="00000000" w:rsidP="00000000" w:rsidRDefault="00000000" w:rsidRPr="00000000" w14:paraId="00000015">
      <w:pPr>
        <w:spacing w:after="120" w:before="12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Punjabi University, Patiala</w:t>
      </w:r>
    </w:p>
    <w:p w:rsidR="00000000" w:rsidDel="00000000" w:rsidP="00000000" w:rsidRDefault="00000000" w:rsidRPr="00000000" w14:paraId="00000016">
      <w:pPr>
        <w:spacing w:after="120" w:before="120" w:line="360" w:lineRule="auto"/>
        <w:rPr>
          <w:rFonts w:ascii="Times New Roman" w:cs="Times New Roman" w:eastAsia="Times New Roman" w:hAnsi="Times New Roman"/>
          <w:b w:val="1"/>
          <w:bCs w:val="1"/>
          <w:sz w:val="32"/>
          <w:szCs w:val="32"/>
        </w:rPr>
      </w:pPr>
      <w:r w:rsidDel="00000000" w:rsidR="00000000" w:rsidRPr="00000000">
        <w:br w:type="column"/>
      </w:r>
      <w:r w:rsidDel="00000000" w:rsidR="00000000" w:rsidRPr="00000000">
        <w:rPr>
          <w:rFonts w:ascii="Times New Roman" w:cs="Times New Roman" w:eastAsia="Times New Roman" w:hAnsi="Times New Roman"/>
          <w:b w:val="1"/>
          <w:bCs w:val="1"/>
          <w:sz w:val="32"/>
          <w:szCs w:val="32"/>
          <w:rtl w:val="0"/>
        </w:rPr>
        <w:t xml:space="preserve">Annual Seminar Paper</w:t>
      </w:r>
    </w:p>
    <w:p w:rsidR="00000000" w:rsidDel="00000000" w:rsidP="00000000" w:rsidRDefault="00000000" w:rsidRPr="00000000" w14:paraId="00000017">
      <w:pPr>
        <w:spacing w:after="120" w:before="120" w:line="36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Examining the Operations of Ideologies and Stereotypy: A Critical Discourse Analysis of Household Products' Advertisement</w:t>
      </w:r>
    </w:p>
    <w:p w:rsidR="00000000" w:rsidDel="00000000" w:rsidP="00000000" w:rsidRDefault="00000000" w:rsidRPr="00000000" w14:paraId="00000018">
      <w:pPr>
        <w:spacing w:after="120" w:before="1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Vandana Lunyal</w:t>
      </w:r>
    </w:p>
    <w:p w:rsidR="00000000" w:rsidDel="00000000" w:rsidP="00000000" w:rsidRDefault="00000000" w:rsidRPr="00000000" w14:paraId="00000019">
      <w:pPr>
        <w:spacing w:after="120" w:before="12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Jaspreet Mander</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discourse analysis (CDA) stems from a critical theory of language which perceives social practices as the base for the use of language in society. Social practices, on the other hand are tied to specific historical contexts. They are the means by which existing social relations are reproduced or contested to serve the interests of different people or groups.  </w:t>
      </w:r>
    </w:p>
    <w:p w:rsidR="00000000" w:rsidDel="00000000" w:rsidP="00000000" w:rsidRDefault="00000000" w:rsidRPr="00000000" w14:paraId="0000001C">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discourse analysis of a text therefore seeks an answer to how discourse is implicated in relations of power. According to Fairclough and Wodak, (1997) Critical Discourse Analysis is a “socially committed scientific paradigm (279-80)” that views discourse as social behaviour and its central objective is “to uncover opaqueness and power relationships (280)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and is thus self-reflexive, making explicit its interests and is interested in the practical issues. For them, “discourse is socially constitutive as well as socially shaped: it constitutes situations, objects of knowledge, and the social identities of and relationships between people and groups of people. It is constitutive both in the sense that it helps to sustain and reproduce the social status quo, and in the sense that it contributes to transforming it (258).” CDA, therefore, takes the standpoint of people who suffer, and by critically analyzing the language in use socially, it helps to reveal how power is wielded through discourse and how certain institutions such as media, family, school work towards spreading the ideology of the dominant group and the state and work towards maintaining existing power relations in society.  Teo (2000) also observes that by analyzing the linguistic structures and discourse strategies, in the light of their interactional and wider social contexts, the kind of socio-cultural ideologies that have become entrenched and naturalized over time in discourse can be unlocked and made transparent (11).</w:t>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28"/>
          <w:szCs w:val="28"/>
        </w:rPr>
        <w:sectPr>
          <w:pgSz w:h="15840" w:w="1224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Advertisement: IFB Range of Products </w:t>
      </w:r>
    </w:p>
    <w:p w:rsidR="00000000" w:rsidDel="00000000" w:rsidP="00000000" w:rsidRDefault="00000000" w:rsidRPr="00000000" w14:paraId="0000002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advertisement that has been selected for analysis advertises IFB range of products. </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analysis, it will seek answers to questions such as whose interests are being served as they relate discourse to relations of power. The following questions that offer the essence of CDA will be taken up though not necessarily in the same order.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is the text positioned or positioning?</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the interests of some individual or group being served by this positioning? Whose?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the interests of some individual or group being negated? Whose?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there any consequences of this positioning? What? </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Fairclough refers to the situational context and the intertextual context as central to the process of interpretation. In terms of situational context, it is useful to ask questions when and where the text was produced. The advertisement has been taken from </w:t>
      </w:r>
      <w:r w:rsidDel="00000000" w:rsidR="00000000" w:rsidRPr="00000000">
        <w:rPr>
          <w:rFonts w:ascii="Times New Roman" w:cs="Times New Roman" w:eastAsia="Times New Roman" w:hAnsi="Times New Roman"/>
          <w:i w:val="1"/>
          <w:iCs w:val="1"/>
          <w:sz w:val="24"/>
          <w:szCs w:val="24"/>
          <w:rtl w:val="0"/>
        </w:rPr>
        <w:t xml:space="preserve">Femina</w:t>
      </w:r>
      <w:r w:rsidDel="00000000" w:rsidR="00000000" w:rsidRPr="00000000">
        <w:rPr>
          <w:rFonts w:ascii="Times New Roman" w:cs="Times New Roman" w:eastAsia="Times New Roman" w:hAnsi="Times New Roman"/>
          <w:sz w:val="24"/>
          <w:szCs w:val="24"/>
          <w:rtl w:val="0"/>
        </w:rPr>
        <w:t xml:space="preserve"> (July, 2008). Placing it in the situational context, it may be observed that the advertisement came in 2008 and can therefore be considered recent. It has been taken from an English magazine that is read essentially by women interested in latest style, fashion and glamour. It being in English also presupposes readership by educated Indian women. In fact, the analysis strives to prove how educated Indian women become ideological subjects who, being interpellated in this advertisement, are subjected to the ideology of consumption and at the same time become targets of ideology that “comprises the ways of thinking and behaving within a given society, which make the ways of that society seem natural or unquestioned to its members. (Eagleton, 1994: 20)”</w:t>
      </w:r>
    </w:p>
    <w:p w:rsidR="00000000" w:rsidDel="00000000" w:rsidP="00000000" w:rsidRDefault="00000000" w:rsidRPr="00000000" w14:paraId="0000002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advertisement is a blend of the visual and the verbal which ensures some interest in the advertisement by general readers and a prolonged interest by the readers who are planning to buy a machine for doing household chores. The picture of a woman along with the verbal text becomes a commentary on how working women who are multitasking nowadays get stressed and surely machines come to their rescue and that it is an intelligent woman who would make a right choice from the options available. Typically, like so many other advertisements, this advertisement presents a problem solution pattern. However, the paper traces the visual and the verbal elements in the selected advertisement, and then analyzes it in terms of problem solution pattern;</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thereafter attempts to probe the deeper levels to reveal the ideological function of the advert that helps not only to maintain the existing order but also to strengthen it. </w:t>
      </w:r>
    </w:p>
    <w:p w:rsidR="00000000" w:rsidDel="00000000" w:rsidP="00000000" w:rsidRDefault="00000000" w:rsidRPr="00000000" w14:paraId="0000002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Visual </w:t>
      </w:r>
    </w:p>
    <w:p w:rsidR="00000000" w:rsidDel="00000000" w:rsidP="00000000" w:rsidRDefault="00000000" w:rsidRPr="00000000" w14:paraId="0000002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visual aspect of the advertisement has a well dressed young woman reading an English newspaper. She is sitting in a chair in a place with black cane furniture which is indicative of a modern café.  She is having tea or coffee as the visual shows a white cup placed in a saucer on a table along with a basket of croissant and white napkins. The whiteness of the cup and napkins and light coloured croissants contrasted with black furniture attracts the attention of the reader. In addition, the woman is dressed in a formal western outfit which is a dark navy striped skirt suit, and a pair of black stockings. She is wearing a white shirt to go with her dark business suit. We also see a black business or a laptop bag lying on the floor close to her. She supports a stylish look that gets further enhanced with a string of white pearls around her neck. Her hair is neatly tied up in a bun. Her clothes, the setting of the advertisement i.e. a stylish café, her body language and the style of her attire show that she is a well accomplished person who has achieved something in life. On the whole, the woman seems oozing with confidence and appears to be a high level professional.  In the advertisement, the woman appears to be out for a business meeting with a client in a cafe. The contrast of dark and light shades gives a not to be missed visibility to different objects in the picture and makes them significant symbols to the meaning that can be derived from the picture.  </w:t>
      </w:r>
    </w:p>
    <w:p w:rsidR="00000000" w:rsidDel="00000000" w:rsidP="00000000" w:rsidRDefault="00000000" w:rsidRPr="00000000" w14:paraId="0000002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immediately followed by the visual representation of the problem that is the household chores and beside it we can see the visual representation of the solution. At the bottom of the page, a range of IFB products and a clutter of things lying close to the products advertised can be seen. On the right hand side, a line of IFB range, such as a clothes dryer, a front loader and a top loader washing machine, a dishwasher and a microwave oven can be seen and on the left hand side, we see some raw vegetables, some dirty clothes in the laundry basket and some dirty dishes. It is suggestive of the availability of answers (solution) on the right hand side to the questions (problems) on the left hand side.</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0" distT="0" distL="0" distR="0">
            <wp:extent cx="5943600" cy="7862888"/>
            <wp:effectExtent b="0" l="0" r="0" t="0"/>
            <wp:docPr descr="C:\Users\acer\Desktop\IFB Image.jpg" id="1" name="image1.jpg"/>
            <a:graphic>
              <a:graphicData uri="http://schemas.openxmlformats.org/drawingml/2006/picture">
                <pic:pic>
                  <pic:nvPicPr>
                    <pic:cNvPr descr="C:\Users\acer\Desktop\IFB Image.jpg" id="0" name="image1.jpg"/>
                    <pic:cNvPicPr preferRelativeResize="0"/>
                  </pic:nvPicPr>
                  <pic:blipFill>
                    <a:blip r:embed="rId6"/>
                    <a:srcRect b="0" l="0" r="0" t="0"/>
                    <a:stretch>
                      <a:fillRect/>
                    </a:stretch>
                  </pic:blipFill>
                  <pic:spPr>
                    <a:xfrm>
                      <a:off x="0" y="0"/>
                      <a:ext cx="5943600" cy="7862888"/>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Interplay of the Visual and the Verbal </w:t>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top of the </w:t>
      </w:r>
      <w:r w:rsidDel="00000000" w:rsidR="00000000" w:rsidRPr="00000000">
        <w:rPr>
          <w:rFonts w:ascii="Times New Roman" w:cs="Times New Roman" w:eastAsia="Times New Roman" w:hAnsi="Times New Roman"/>
          <w:rtl w:val="0"/>
        </w:rPr>
        <w:t xml:space="preserve">advertisement</w:t>
      </w:r>
      <w:r w:rsidDel="00000000" w:rsidR="00000000" w:rsidRPr="00000000">
        <w:rPr>
          <w:rFonts w:ascii="Times New Roman" w:cs="Times New Roman" w:eastAsia="Times New Roman" w:hAnsi="Times New Roman"/>
          <w:sz w:val="24"/>
          <w:szCs w:val="24"/>
          <w:rtl w:val="0"/>
        </w:rPr>
        <w:t xml:space="preserve"> is a caption which has been placed at the level of the head of the</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4"/>
          <w:szCs w:val="24"/>
          <w:rtl w:val="0"/>
        </w:rPr>
        <w:t xml:space="preserve">woman that reads “housework on your mind?”  The font used for the caption is </w:t>
      </w:r>
      <w:r w:rsidDel="00000000" w:rsidR="00000000" w:rsidRPr="00000000">
        <w:rPr>
          <w:rFonts w:ascii="Times New Roman" w:cs="Times New Roman" w:eastAsia="Times New Roman" w:hAnsi="Times New Roman"/>
          <w:b w:val="1"/>
          <w:bCs w:val="1"/>
          <w:sz w:val="24"/>
          <w:szCs w:val="24"/>
          <w:rtl w:val="0"/>
        </w:rPr>
        <w:t xml:space="preserve">Arial rounded MT, size 22</w:t>
      </w:r>
      <w:r w:rsidDel="00000000" w:rsidR="00000000" w:rsidRPr="00000000">
        <w:rPr>
          <w:rFonts w:ascii="Times New Roman" w:cs="Times New Roman" w:eastAsia="Times New Roman" w:hAnsi="Times New Roman"/>
          <w:sz w:val="24"/>
          <w:szCs w:val="24"/>
          <w:rtl w:val="0"/>
        </w:rPr>
        <w:t xml:space="preserve">. A little above the visual representation of IFB products at the bottom of the page, we find the text “set yourself free with IFB”.  The font type and size of the brand ‘IFB’ is </w:t>
      </w:r>
      <w:r w:rsidDel="00000000" w:rsidR="00000000" w:rsidRPr="00000000">
        <w:rPr>
          <w:rFonts w:ascii="Times New Roman" w:cs="Times New Roman" w:eastAsia="Times New Roman" w:hAnsi="Times New Roman"/>
          <w:b w:val="1"/>
          <w:bCs w:val="1"/>
          <w:sz w:val="24"/>
          <w:szCs w:val="24"/>
          <w:rtl w:val="0"/>
        </w:rPr>
        <w:t xml:space="preserve">Stencil bold</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 respectively.  The font type and size of the text that suggests the solution, “set yourself free with” is </w:t>
      </w:r>
      <w:r w:rsidDel="00000000" w:rsidR="00000000" w:rsidRPr="00000000">
        <w:rPr>
          <w:rFonts w:ascii="Times New Roman" w:cs="Times New Roman" w:eastAsia="Times New Roman" w:hAnsi="Times New Roman"/>
          <w:b w:val="1"/>
          <w:bCs w:val="1"/>
          <w:sz w:val="24"/>
          <w:szCs w:val="24"/>
          <w:rtl w:val="0"/>
        </w:rPr>
        <w:t xml:space="preserve">Arial rounded MT, size 18</w:t>
      </w:r>
      <w:r w:rsidDel="00000000" w:rsidR="00000000" w:rsidRPr="00000000">
        <w:rPr>
          <w:rFonts w:ascii="Times New Roman" w:cs="Times New Roman" w:eastAsia="Times New Roman" w:hAnsi="Times New Roman"/>
          <w:sz w:val="24"/>
          <w:szCs w:val="24"/>
          <w:rtl w:val="0"/>
        </w:rPr>
        <w:t xml:space="preserve">. The verbal text ‘</w:t>
      </w:r>
      <w:r w:rsidDel="00000000" w:rsidR="00000000" w:rsidRPr="00000000">
        <w:rPr>
          <w:rFonts w:ascii="Times New Roman" w:cs="Times New Roman" w:eastAsia="Times New Roman" w:hAnsi="Times New Roman"/>
          <w:b w:val="1"/>
          <w:bCs w:val="1"/>
          <w:sz w:val="24"/>
          <w:szCs w:val="24"/>
          <w:rtl w:val="0"/>
        </w:rPr>
        <w:t xml:space="preserve">set yourself free</w:t>
      </w:r>
      <w:r w:rsidDel="00000000" w:rsidR="00000000" w:rsidRPr="00000000">
        <w:rPr>
          <w:rFonts w:ascii="Times New Roman" w:cs="Times New Roman" w:eastAsia="Times New Roman" w:hAnsi="Times New Roman"/>
          <w:sz w:val="24"/>
          <w:szCs w:val="24"/>
          <w:rtl w:val="0"/>
        </w:rPr>
        <w:t xml:space="preserve">’ is cleverly juxtaposed with the IFB brand name. The verbal that gives a list of IFB Products  i.e. the IFB products which are - 100% Clothes Dryer, Front Loader, Top Loader, Dishwasher, Microwave Oven is in fine print </w:t>
      </w:r>
      <w:r w:rsidDel="00000000" w:rsidR="00000000" w:rsidRPr="00000000">
        <w:rPr>
          <w:rFonts w:ascii="Times New Roman" w:cs="Times New Roman" w:eastAsia="Times New Roman" w:hAnsi="Times New Roman"/>
          <w:b w:val="1"/>
          <w:bCs w:val="1"/>
          <w:sz w:val="24"/>
          <w:szCs w:val="24"/>
          <w:rtl w:val="0"/>
        </w:rPr>
        <w:t xml:space="preserve">(Font Aparajita, size 12</w:t>
      </w:r>
      <w:r w:rsidDel="00000000" w:rsidR="00000000" w:rsidRPr="00000000">
        <w:rPr>
          <w:rFonts w:ascii="Times New Roman" w:cs="Times New Roman" w:eastAsia="Times New Roman" w:hAnsi="Times New Roman"/>
          <w:sz w:val="24"/>
          <w:szCs w:val="24"/>
          <w:rtl w:val="0"/>
        </w:rPr>
        <w:t xml:space="preserve">) perhaps because the list is less significant than the big pictures of the products that are shown. It may be seen that the verbal text is very much in sync with the visual. </w:t>
      </w:r>
    </w:p>
    <w:p w:rsidR="00000000" w:rsidDel="00000000" w:rsidP="00000000" w:rsidRDefault="00000000" w:rsidRPr="00000000" w14:paraId="00000031">
      <w:pPr>
        <w:pStyle w:val="Heading1"/>
        <w:rPr>
          <w:color w:val="000000"/>
        </w:rPr>
      </w:pPr>
      <w:r w:rsidDel="00000000" w:rsidR="00000000" w:rsidRPr="00000000">
        <w:rPr>
          <w:color w:val="000000"/>
          <w:rtl w:val="0"/>
        </w:rPr>
        <w:t xml:space="preserve">The Verbal</w:t>
      </w:r>
    </w:p>
    <w:p w:rsidR="00000000" w:rsidDel="00000000" w:rsidP="00000000" w:rsidRDefault="00000000" w:rsidRPr="00000000" w14:paraId="00000032">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verbal includes: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caption ‘housework on your mind?’</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slogan – set yourself free with IFB</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list of products - 100% Clothes Dryer, Front Loader, Top Loader, Dishwasher, Microwave Oven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details – telephone numbers, email and website address as ready reference for people who may be interested to know more about the products</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caption suggests the problem of most working women who not only have to do well professionally but also have to singlehandedly shoulder responsibilities of the home.  The woman in the advertisement has her mind preoccupied with the workload of the household chores. In spite of being placed well professionally, household chores continue to weigh on her mind. Using IFB products is her only gateway to freedom as is suggested ‘set yourself free with IFB’.   </w:t>
      </w:r>
    </w:p>
    <w:p w:rsidR="00000000" w:rsidDel="00000000" w:rsidP="00000000" w:rsidRDefault="00000000" w:rsidRPr="00000000" w14:paraId="00000038">
      <w:pPr>
        <w:spacing w:line="360" w:lineRule="auto"/>
        <w:rPr>
          <w:rFonts w:ascii="Times New Roman" w:cs="Times New Roman" w:eastAsia="Times New Roman" w:hAnsi="Times New Roman"/>
          <w:color w:val="ffffff"/>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Critical Discourse Analysis</w:t>
      </w:r>
    </w:p>
    <w:p w:rsidR="00000000" w:rsidDel="00000000" w:rsidP="00000000" w:rsidRDefault="00000000" w:rsidRPr="00000000" w14:paraId="0000003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 Solution Pattern </w:t>
      </w:r>
    </w:p>
    <w:p w:rsidR="00000000" w:rsidDel="00000000" w:rsidP="00000000" w:rsidRDefault="00000000" w:rsidRPr="00000000" w14:paraId="0000003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Advertisements generally revolve around the problem solution information structure, which is usually found in journalism texts. Such advertisements are designed to appeal to the intelligence of the consumers and are argumentative in nature. They make a rational case for consumers to buy the advertised product as the only way out of a problem they may be facing. Such advertisements lead the consumers to accept that there are problem situations in their lives. To counter the problem, advertisements present a solution in the form of a product. Michael Hoey (2001), while discussing textual patterns, talks about the problem solution pattern. Hoey explains the problem solution pattern with the help of a made-up example:</w:t>
      </w:r>
    </w:p>
    <w:p w:rsidR="00000000" w:rsidDel="00000000" w:rsidP="00000000" w:rsidRDefault="00000000" w:rsidRPr="00000000" w14:paraId="0000003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 was once a teacher of English Language. (2) One day some students came </w:t>
      </w:r>
    </w:p>
    <w:p w:rsidR="00000000" w:rsidDel="00000000" w:rsidP="00000000" w:rsidRDefault="00000000" w:rsidRPr="00000000" w14:paraId="0000003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me unable to write their names. (3) I taught them text analysis. (4) Now </w:t>
      </w:r>
    </w:p>
    <w:p w:rsidR="00000000" w:rsidDel="00000000" w:rsidP="00000000" w:rsidRDefault="00000000" w:rsidRPr="00000000" w14:paraId="0000003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all write novels. (123)    </w:t>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example shows that there is (1) an optional previous Situation, which provides a context for the pattern (2) then comes the Problem or “aspect of a situation requiring a response” (3) addressing the problem or the Response to the problem and (4) a Positive Result or Evaluation. (124), </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analyze the problem solution pattern in this advertisement, it may be said that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a woman who works outside her home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situation)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She considers doing household chores her responsibility but is not able to find time to do them and therefore they weigh upon her mind even at work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problem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She has a choice to use the IFB range of products (kitchen appliances) which are answers to all her problems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solution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She uses the products; she is able to set herself free from the clutches of the problems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positive result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working woman in the advertisement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reading an English newspaper appears to be an intelligent person who works and is expected to take certain decisions in her life and can surely decide to buy some products if consumption makes her life simpler and happier when compared to the life before consumption. The problem of household chores, whether the woman does them herself or gets them done by hiring a help, remains the headache of the woman. And to solve this problem, the advertisement suggests that she buys IFB products which will make her life free from such worries and be able to concentrate more on her job. Such suggestions create the “necessary illusions” (Chomsky, 1989: 31) for the person who feels interpellated by the advertisement and “manufacture consent” (a term coined by Herman and Chomsky, 1988) for accepting the ideological incline of the advertisers as common sense which also enhance the probability of consumption. </w:t>
      </w:r>
    </w:p>
    <w:p w:rsidR="00000000" w:rsidDel="00000000" w:rsidP="00000000" w:rsidRDefault="00000000" w:rsidRPr="00000000" w14:paraId="0000004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Analysis of the visual and the verbal</w:t>
      </w:r>
    </w:p>
    <w:p w:rsidR="00000000" w:rsidDel="00000000" w:rsidP="00000000" w:rsidRDefault="00000000" w:rsidRPr="00000000" w14:paraId="0000004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Critically speaking, the advertisement and the images shown in the advertisement are aimed at women in general, especially those who work outside the confines of their homes. To analyze the visual discourse it may be said that the clutter of dishes, clothes, food waiting to be cooked in her home represents how her mind is cluttered with the thoughts of the unfinished household chores. These thoughts of unfinished work weigh on her mind even though she is out on a business meeting.  The advertisement suggests that the woman has ‘housework on her mind’ even at the place of her work.  Her preoccupation with these thoughts does not let her be free of the burdensome work that is waiting for her back home. The preoccupation with the problems  mentioned in the advertisement viz finishing her household chores for which perhaps she does not have time being a working professional, has been foregrounded as the background in the image  is hazy and unclear. </w:t>
      </w:r>
    </w:p>
    <w:p w:rsidR="00000000" w:rsidDel="00000000" w:rsidP="00000000" w:rsidRDefault="00000000" w:rsidRPr="00000000" w14:paraId="0000004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Ideally, she should have been presented as preparing for her business meeting but her laptop is lying ignored near her feet and instead of going through her business notes she is reading a newspaper. It may be contested that she is ready with everything and has a relaxed attitude because of her readiness. But her readiness is not visible with her laptop closed in the bag which is on the floor rather than on the table. The table shows a cup which indicates that she has started having her coffee without waiting for the client to show up as if this is the only time available to her when she can relax in between work. At the same time it is also shown that though she is trying to relax, she cannot because of the work waiting for her at home. This is important as a man would not have been presented in this manner. Visualizing the same situation with a male model would have a different scenario. Perhaps the coffee will be replaced with an ash tray and a cigarette that he would be smoking owing to tension for the meeting he is shortly going to have and a newspaper will be replaced with the open laptop, making it a more serious affair.</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we also see how women are encaged in stereotypes. It has been observed that the power of stereotypical advertising works well for the advertisers as stereotypes go down with the audience without any questions.  Stereotypes have the power to convince people that the advertisers’ message about the product has value. At the same time, it convinces people of the value of the stereotype as real, right and natural. Komisar (1971) claims that such portrayals make it difficult for women to break away from the sexist stereotypes which imprison them (207).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Many advertisements may not be very explicit about gender roles. They just show people caged in traditional roles and being happy about the tradition. This covert kind of gender stereotyping in advertisements upholds these characteristics of men and women as something natural that stems out of a cultural prerequisite. They would ignore their own wishes about choice of career and desires of leading their lives in a particular way to swap them with the stereotypical model depicted through popular culture including advertisements (Geis et al., 1984; McArthur &amp; Resko, 1975). </w:t>
      </w:r>
    </w:p>
    <w:p w:rsidR="00000000" w:rsidDel="00000000" w:rsidP="00000000" w:rsidRDefault="00000000" w:rsidRPr="00000000" w14:paraId="0000004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advertisement under scanner also projects the gender stereotypes but quite overtly. Although the woman model is shown to be a career woman but her mind is not preoccupied with the preparation of her meeting with a client. Rather, she is reading a newspaper which depicts her casual approach towards her job but is in serious contemplation about washing and cleaning. Such a scenario serves the interests of the dominant group i.e. the males as it helps them to not only get an intelligent wife with whom they can have mental compatibility but also a person who goes out and earns a living whose top priority is nevertheless (and should be) her home that she needs to manage very efficiently and hence make perfect for her family.</w:t>
      </w:r>
    </w:p>
    <w:p w:rsidR="00000000" w:rsidDel="00000000" w:rsidP="00000000" w:rsidRDefault="00000000" w:rsidRPr="00000000" w14:paraId="0000004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Previous research also indicates that advertising which stereotypes women can form unconscious and unthinking attitudes about women and their abilities in society (Geis, Brown, Jennings &amp; Porter, 1984).</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Using stereotypes is usually a woman who is bound to the household work.  The advertisement reinforces the stereotypical idea using a presupposition that washing and doing dishes is the job of a woman and that it is her business to worry about such household chores even though she may be placed well professionally with an added implication that men do not have anything to do with it. Another implication at work here is that the household chores like washing clothes and utensils will keep one ‘imprisoned’ and that the products will enable women to achieve their freedom. IFB dish washer or clothes dryer can set her free from these tasks. It suggests that women can off burden themselves from performing the household chores by using the IFB range. </w:t>
      </w:r>
    </w:p>
    <w:p w:rsidR="00000000" w:rsidDel="00000000" w:rsidP="00000000" w:rsidRDefault="00000000" w:rsidRPr="00000000" w14:paraId="0000004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problems that women face every day and the ones that preoccupy their mind even while at work are many but strangely, the advertisement lists only those problems to which IFB has answers i.e. washing clothes and drying them up, washing dishes, and cooking. It does not talk of dropping and picking children up to and from school as they do not make cars. It does not talk about their need to be in constant touch with family as they do not make mobile phones. Surely, the problems mentioned are important but the ones not mentioned are not negligible. Perhaps, driving and the need for a mobile phone are more masculine in the domain of advertising and the problems mentioned are typically female problems, which is why the model used in the advertisement is a woman. </w:t>
      </w:r>
    </w:p>
    <w:p w:rsidR="00000000" w:rsidDel="00000000" w:rsidP="00000000" w:rsidRDefault="00000000" w:rsidRPr="00000000" w14:paraId="0000004E">
      <w:pPr>
        <w:spacing w:line="360" w:lineRule="auto"/>
        <w:ind w:firstLine="720"/>
        <w:rPr>
          <w:rFonts w:ascii="Times New Roman" w:cs="Times New Roman" w:eastAsia="Times New Roman" w:hAnsi="Times New Roman"/>
          <w:sz w:val="24"/>
          <w:szCs w:val="24"/>
        </w:rPr>
      </w:pPr>
      <w:bookmarkStart w:colFirst="0" w:colLast="0" w:name="_rtneejnqprhy" w:id="0"/>
      <w:bookmarkEnd w:id="0"/>
      <w:r w:rsidDel="00000000" w:rsidR="00000000" w:rsidRPr="00000000">
        <w:rPr>
          <w:rFonts w:ascii="Times New Roman" w:cs="Times New Roman" w:eastAsia="Times New Roman" w:hAnsi="Times New Roman"/>
          <w:sz w:val="24"/>
          <w:szCs w:val="24"/>
          <w:rtl w:val="0"/>
        </w:rPr>
        <w:t xml:space="preserve">The advertisement makes use of a subtle, soft-sell selling strategy and uses suggestions for consumption so as to persuade the reader rather than straightforwardly asking the consumer to buy the product.  It is very clear that the advertisement is very light when it comes to the verbal text but is visual heavy. It is more suggestive and uses implied and covert ways to ‘manufacture consent’ of readers and softly persuade them to become prospective buyers by using visuals. It may be seen that the problems, as already mentioned, are presented through the visual of the clutter of dishes to be done, clothes to be washed and dried, and food to be cooked that represents the clutter of thoughts of having to do so many tasks in the woman's mind. Similarly, the solution to her problems is also given through the visual discourse which suggests that consumption of IFB products will meet the needs of a woman who often is expected to do multi-tasking and solve her problems. IFB has come up with a range of products and using them will help her overcome her problems and thus she will be able to concentrate on her work more thereby helping her in becoming a super woman — a successful professional and an equally successful housewife, i.e. elevate the woman from the state of being to becoming. This promise of ‘becoming’ negates the interests of women by working  towards making women think that they have the means to make their lives easier and secondly to naturalize the reality of household chores such as cooking, cleaning and washing essentially as the duties of women. </w:t>
      </w:r>
    </w:p>
    <w:p w:rsidR="00000000" w:rsidDel="00000000" w:rsidP="00000000" w:rsidRDefault="00000000" w:rsidRPr="00000000" w14:paraId="0000004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would not be an exaggeration to come to such an analysis by merely analyzing the visuals since visuals have more to state than words. Fairclough (1989) attests that in modern societies visual texts may be taken as whole texts which are endowed with a discourse of their own and manage to get across in an effective manner by associating the visual aspect of language with its verbal form (28).</w:t>
      </w:r>
    </w:p>
    <w:p w:rsidR="00000000" w:rsidDel="00000000" w:rsidP="00000000" w:rsidRDefault="00000000" w:rsidRPr="00000000" w14:paraId="0000005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5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the advertisement affirms that language, whether verbal or visual, is not an innocent medium but a structuring medium that structures the world in preferred ways. The representation of men and women in advertisements should be understood in terms of the values that our society attaches to them. Unless we go deeper than the obvious meanings that we find at the surface level, we may not be able to fully grasp the socio-cultural politics that assigns certain roles to men but certain OTHER roles to women using linguistic or non-linguistic codes. The study of these linguistic and non-linguistic codes that advertisements use reveals certain ideologies at work and predetermined worldviews and work towards sustaining the existing order of things.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Style w:val="Heading1"/>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Works Cited</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Brown, G and Yule, G.</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Discourse Analysis.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London: OUP, 1983, Print.</w:t>
      </w:r>
    </w:p>
    <w:p w:rsidR="00000000" w:rsidDel="00000000" w:rsidP="00000000" w:rsidRDefault="00000000" w:rsidRPr="00000000" w14:paraId="0000005B">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Chomsky, Naom. </w:t>
      </w:r>
      <w:r w:rsidDel="00000000" w:rsidR="00000000" w:rsidRPr="00000000">
        <w:rPr>
          <w:rFonts w:ascii="Times New Roman" w:cs="Times New Roman" w:eastAsia="Times New Roman" w:hAnsi="Times New Roman"/>
          <w:i w:val="1"/>
          <w:iCs w:val="1"/>
          <w:sz w:val="24"/>
          <w:szCs w:val="24"/>
          <w:rtl w:val="0"/>
        </w:rPr>
        <w:t xml:space="preserve">Necessary Illusions: Thought Control in Democratic Societies</w:t>
      </w:r>
      <w:r w:rsidDel="00000000" w:rsidR="00000000" w:rsidRPr="00000000">
        <w:rPr>
          <w:rFonts w:ascii="Times New Roman" w:cs="Times New Roman" w:eastAsia="Times New Roman" w:hAnsi="Times New Roman"/>
          <w:sz w:val="24"/>
          <w:szCs w:val="24"/>
          <w:rtl w:val="0"/>
        </w:rPr>
        <w:t xml:space="preserve">. Cambridge MA: South End Press, 1989, Print.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Eagleton, T, ed.</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Ideology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London: Longman, 1991, Print.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Fairclough, Norman, and Ruth Wodak. “Discourse as Social Interaction.”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Critical Discourse Analysis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Ed. Teun A van Dijk. London: Sage, 1997. 258-284, Print.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Geis, F.L., Brown, V., Jennings, J., &amp; Porter, N. “TV commercials as achievement scripts for women.”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Sex Roles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10.7,8 (1984): 513-525, Electronic.</w:t>
      </w:r>
    </w:p>
    <w:p w:rsidR="00000000" w:rsidDel="00000000" w:rsidP="00000000" w:rsidRDefault="00000000" w:rsidRPr="00000000" w14:paraId="0000005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Herman, Edward S and Naom Cohmsky. </w:t>
      </w:r>
      <w:r w:rsidDel="00000000" w:rsidR="00000000" w:rsidRPr="00000000">
        <w:rPr>
          <w:rFonts w:ascii="Times New Roman" w:cs="Times New Roman" w:eastAsia="Times New Roman" w:hAnsi="Times New Roman"/>
          <w:i w:val="1"/>
          <w:iCs w:val="1"/>
          <w:sz w:val="24"/>
          <w:szCs w:val="24"/>
          <w:rtl w:val="0"/>
        </w:rPr>
        <w:t xml:space="preserve">Manufacturing Consent: The Political Economy of the Mass Media</w:t>
      </w:r>
      <w:r w:rsidDel="00000000" w:rsidR="00000000" w:rsidRPr="00000000">
        <w:rPr>
          <w:rFonts w:ascii="Times New Roman" w:cs="Times New Roman" w:eastAsia="Times New Roman" w:hAnsi="Times New Roman"/>
          <w:sz w:val="24"/>
          <w:szCs w:val="24"/>
          <w:rtl w:val="0"/>
        </w:rPr>
        <w:t xml:space="preserve">. NewYork: Pantheon Books, 1988, 2002, Print.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Hoey, Michael.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Textual Interaction: An Introduction to Written Discourse Analysis.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London: Routledge, 2001, Print.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Komisar, L. “The image of woman in advertising.” Gornick, V and Barbara K Moran.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Woman in sexist society: Studies in Power and Powerlessness.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New York: Basic Books, Inc., 1971, Print.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McArthur, L.Z., &amp; Resko, B.G. “The portrayal of men and women in American television commercials.”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Journal of Social Psychology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97 (1975): 209-220, Electronic.</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Teo, P. “Racism in the news: A critical Discourse Analysis of Reporting in Two Australian Newspapers.”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Discourse and Society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(2000): 7-15, Electronic.</w:t>
      </w:r>
    </w:p>
    <w:p w:rsidR="00000000" w:rsidDel="00000000" w:rsidP="00000000" w:rsidRDefault="00000000" w:rsidRPr="00000000" w14:paraId="00000064">
      <w:pPr>
        <w:spacing w:after="120" w:before="120" w:lineRule="auto"/>
        <w:rPr/>
      </w:pPr>
      <w:r w:rsidDel="00000000" w:rsidR="00000000" w:rsidRPr="00000000">
        <w:rPr>
          <w:rtl w:val="0"/>
        </w:rPr>
      </w:r>
    </w:p>
    <w:sectPr>
      <w:headerReference r:id="rId7" w:type="default"/>
      <w:type w:val="nextPage"/>
      <w:pgSz w:h="15840" w:w="12240" w:orient="portrait"/>
      <w:pgMar w:bottom="1440" w:top="1440" w:left="1440" w:right="144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Lunyal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